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  <w:sz w:val="22"/>
          <w:szCs w:val="22"/>
        </w:r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Recognition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 w:orient="portrait"/>
          <w:pgMar w:bottom="907" w:top="907" w:left="907" w:right="907" w:header="567" w:footer="567"/>
          <w:pgNumType w:start="1"/>
        </w:sect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Applicant: *NAME*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6000" y="2970000"/>
                          <a:ext cx="7560000" cy="16200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575" cy="1639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5040630</wp:posOffset>
            </wp:positionH>
            <wp:positionV relativeFrom="page">
              <wp:posOffset>467994</wp:posOffset>
            </wp:positionV>
            <wp:extent cx="1940400" cy="8748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87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mallCaps w:val="1"/>
          <w:sz w:val="96"/>
          <w:szCs w:val="96"/>
        </w:rPr>
      </w:pPr>
      <w:bookmarkStart w:colFirst="0" w:colLast="0" w:name="_l4v19wn5tvk5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96"/>
          <w:szCs w:val="96"/>
          <w:rtl w:val="0"/>
        </w:rPr>
        <w:t xml:space="preserve">Application Recognition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DEADLINE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: 1 april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bookmarkStart w:colFirst="0" w:colLast="0" w:name="_jkse6nm2joo3" w:id="1"/>
      <w:bookmarkEnd w:id="1"/>
      <w:r w:rsidDel="00000000" w:rsidR="00000000" w:rsidRPr="00000000">
        <w:rPr>
          <w:rtl w:val="0"/>
        </w:rPr>
        <w:t xml:space="preserve">Motivation and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Explain your association in a few sentences: What do you do? Why was the association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founded, what is the purpose?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To claim recognition, an association must meet at least the following conditions: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(provide concise arguments)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consists mostly of students from Leuven;</w:t>
      </w:r>
    </w:p>
    <w:tbl>
      <w:tblPr>
        <w:tblStyle w:val="Table2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targets the student population of Leuven;</w:t>
      </w:r>
      <w:r w:rsidDel="00000000" w:rsidR="00000000" w:rsidRPr="00000000">
        <w:rPr>
          <w:rtl w:val="0"/>
        </w:rPr>
      </w:r>
    </w:p>
    <w:tbl>
      <w:tblPr>
        <w:tblStyle w:val="Table3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is open to all students from Leuven; </w:t>
      </w:r>
      <w:r w:rsidDel="00000000" w:rsidR="00000000" w:rsidRPr="00000000">
        <w:rPr>
          <w:rtl w:val="0"/>
        </w:rPr>
      </w:r>
    </w:p>
    <w:tbl>
      <w:tblPr>
        <w:tblStyle w:val="Table4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has no financial threshold for those who want to become a member;</w:t>
      </w:r>
    </w:p>
    <w:tbl>
      <w:tblPr>
        <w:tblStyle w:val="Table5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does not make any profits; </w:t>
      </w:r>
    </w:p>
    <w:tbl>
      <w:tblPr>
        <w:tblStyle w:val="Table6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rtl w:val="0"/>
        </w:rPr>
        <w:tab/>
      </w: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Do you charge members fees? If so, how much and for what purposes is it used?</w:t>
      </w:r>
    </w:p>
    <w:tbl>
      <w:tblPr>
        <w:tblStyle w:val="Table7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  <w:u w:val="none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is still active (has organized at least 2 open activities in the past 365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days);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i w:val="1"/>
          <w:color w:val="000000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color w:val="000000"/>
          <w:rtl w:val="0"/>
        </w:rPr>
        <w:t xml:space="preserve">Proofs added later in this document.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1"/>
          <w:color w:val="018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actively and objectively recruits members;</w:t>
      </w:r>
    </w:p>
    <w:tbl>
      <w:tblPr>
        <w:tblStyle w:val="Table8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purpose of the association corresponds to the general principles of LOKO (see bylaws LOKO);</w:t>
      </w:r>
    </w:p>
    <w:tbl>
      <w:tblPr>
        <w:tblStyle w:val="Table9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Poppins" w:cs="Poppins" w:eastAsia="Poppins" w:hAnsi="Poppi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endorses (these can be signed on LOKO by appointment after an acknowledgement):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hazard charter (‘doopcharter’);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human rights and current anti-discrimination legislation;</w:t>
      </w:r>
      <w:r w:rsidDel="00000000" w:rsidR="00000000" w:rsidRPr="00000000">
        <w:rPr>
          <w:rtl w:val="0"/>
        </w:rPr>
      </w:r>
    </w:p>
    <w:tbl>
      <w:tblPr>
        <w:tblStyle w:val="Table10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The association strives to promote a good society with the inhabitants of Leuven.</w:t>
      </w:r>
    </w:p>
    <w:tbl>
      <w:tblPr>
        <w:tblStyle w:val="Table11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186ff"/>
        </w:rPr>
      </w:pPr>
      <w:r w:rsidDel="00000000" w:rsidR="00000000" w:rsidRPr="00000000">
        <w:rPr>
          <w:rFonts w:ascii="Poppins" w:cs="Poppins" w:eastAsia="Poppins" w:hAnsi="Poppins"/>
          <w:color w:val="0186ff"/>
          <w:rtl w:val="0"/>
        </w:rPr>
        <w:t xml:space="preserve">In what way is your association unique in its functioning in the Leuven student community?</w:t>
      </w:r>
    </w:p>
    <w:tbl>
      <w:tblPr>
        <w:tblStyle w:val="Table12"/>
        <w:tblW w:w="10091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1.5"/>
        <w:tblGridChange w:id="0">
          <w:tblGrid>
            <w:gridCol w:w="1009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jc w:val="both"/>
        <w:rPr/>
      </w:pPr>
      <w:bookmarkStart w:colFirst="0" w:colLast="0" w:name="_gdlns6htfrdw" w:id="2"/>
      <w:bookmarkEnd w:id="2"/>
      <w:r w:rsidDel="00000000" w:rsidR="00000000" w:rsidRPr="00000000">
        <w:rPr>
          <w:rtl w:val="0"/>
        </w:rPr>
        <w:t xml:space="preserve">Proofs</w:t>
      </w:r>
    </w:p>
    <w:p w:rsidR="00000000" w:rsidDel="00000000" w:rsidP="00000000" w:rsidRDefault="00000000" w:rsidRPr="00000000" w14:paraId="00000062">
      <w:pPr>
        <w:jc w:val="both"/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Submit proof of two recognized events below. This is required with every recognition application, to prove that the association is active.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Pay attention to the several conditions when picking your supporting documents:</w:t>
      </w:r>
    </w:p>
    <w:p w:rsidR="00000000" w:rsidDel="00000000" w:rsidP="00000000" w:rsidRDefault="00000000" w:rsidRPr="00000000" w14:paraId="00000065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recognized event is an event that meets the following conditions: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open to the public through sufficient promotion so that it is not a 'closed' event reaching only a selective audience;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sufficient promo is defined as at least a public event on Facebook or a post on a public Instagram page;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accessible to every Leuven student (everyone is allowed to participate and no participants may be deliberately refused at the start of the event);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aimed at Leuven students;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not purely recreational (like a TD or cantus);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is not mainly aimed at recruiting members;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the same entrance fee for members as for non-members;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not organized in collaboration with other associations.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rPr/>
      </w:pPr>
      <w:bookmarkStart w:colFirst="0" w:colLast="0" w:name="_8gx6ing298rm" w:id="3"/>
      <w:bookmarkEnd w:id="3"/>
      <w:r w:rsidDel="00000000" w:rsidR="00000000" w:rsidRPr="00000000">
        <w:rPr>
          <w:rtl w:val="0"/>
        </w:rPr>
        <w:t xml:space="preserve">Proof 1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6"/>
        <w:gridCol w:w="5046"/>
        <w:tblGridChange w:id="0">
          <w:tblGrid>
            <w:gridCol w:w="5046"/>
            <w:gridCol w:w="50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Name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(in the last 365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to the  event on a public social media page (e.g. Facebook, Instagram):</w:t>
      </w:r>
    </w:p>
    <w:tbl>
      <w:tblPr>
        <w:tblStyle w:val="Table14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The event was not purely recreational, but had an educational, cultural, sportive or other such additional value. Explain why:</w:t>
      </w:r>
    </w:p>
    <w:tbl>
      <w:tblPr>
        <w:tblStyle w:val="Table15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The event was open to any Leuven student. Explain why:</w:t>
      </w:r>
    </w:p>
    <w:tbl>
      <w:tblPr>
        <w:tblStyle w:val="Table16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If your association has only been able to organize one recognized event, only filling in Proof 1 is sufficient. In that case, your association can apply for a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provisional supporting recognition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: this runs for one year (instead of three), during which the means are provided to organize enough recognized events to then request a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standard recognition 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of three years.</w:t>
      </w:r>
    </w:p>
    <w:p w:rsidR="00000000" w:rsidDel="00000000" w:rsidP="00000000" w:rsidRDefault="00000000" w:rsidRPr="00000000" w14:paraId="0000008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jc w:val="both"/>
        <w:rPr/>
      </w:pPr>
      <w:bookmarkStart w:colFirst="0" w:colLast="0" w:name="_qjedyjr89o2j" w:id="4"/>
      <w:bookmarkEnd w:id="4"/>
      <w:r w:rsidDel="00000000" w:rsidR="00000000" w:rsidRPr="00000000">
        <w:rPr>
          <w:rtl w:val="0"/>
        </w:rPr>
        <w:t xml:space="preserve">Proof 2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6"/>
        <w:gridCol w:w="5046"/>
        <w:tblGridChange w:id="0">
          <w:tblGrid>
            <w:gridCol w:w="5046"/>
            <w:gridCol w:w="50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Name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Date (in the last 365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to the  event on a public social media page (e.g. Facebook, Instagram):</w:t>
      </w:r>
    </w:p>
    <w:tbl>
      <w:tblPr>
        <w:tblStyle w:val="Table18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The event was not purely recreational, but had an educational, cultural, sportive or other such additional value. Explain why:</w:t>
      </w:r>
    </w:p>
    <w:tbl>
      <w:tblPr>
        <w:tblStyle w:val="Table19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The event was open to any Leuven student. Explain why:</w:t>
      </w:r>
    </w:p>
    <w:tbl>
      <w:tblPr>
        <w:tblStyle w:val="Table20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Send this completed document to </w:t>
      </w:r>
      <w:hyperlink r:id="rId1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subsidies@loko.be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If there are additional documents such as articles of association, more extensive motivation for recognition..., these can also be added and appear before the subsidy commission.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07" w:top="907" w:left="907" w:right="907" w:header="567" w:footer="567"/>
      <w:cols w:equalWidth="0" w:num="1">
        <w:col w:space="0" w:w="1009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a283a"/>
        <w:lang w:val="nl-B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96"/>
      <w:szCs w:val="9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360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360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0186ff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</w:pPr>
    <w:rPr>
      <w:rFonts w:ascii="Century Gothic" w:cs="Century Gothic" w:eastAsia="Century Gothic" w:hAnsi="Century Gothic"/>
      <w:b w:val="1"/>
      <w:i w:val="0"/>
      <w:smallCaps w:val="1"/>
      <w:strike w:val="0"/>
      <w:color w:val="1a283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a283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ubsidies@loko.be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