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ff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ffff"/>
          <w:sz w:val="22"/>
          <w:szCs w:val="22"/>
        </w:rPr>
      </w:pPr>
      <w:r w:rsidDel="00000000" w:rsidR="00000000" w:rsidRPr="00000000">
        <w:rPr>
          <w:color w:val="ffffff"/>
          <w:sz w:val="22"/>
          <w:szCs w:val="22"/>
          <w:rtl w:val="0"/>
        </w:rPr>
        <w:t xml:space="preserve">Werkingssubsidies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ff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ffff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ffffff"/>
          <w:sz w:val="22"/>
          <w:szCs w:val="22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598100" cy="164180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66000" y="2970000"/>
                          <a:ext cx="7560000" cy="1620000"/>
                        </a:xfrm>
                        <a:prstGeom prst="rect">
                          <a:avLst/>
                        </a:prstGeom>
                        <a:solidFill>
                          <a:srgbClr val="1155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598100" cy="1641801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8100" cy="16418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ffffff"/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5040630</wp:posOffset>
            </wp:positionH>
            <wp:positionV relativeFrom="page">
              <wp:posOffset>467994</wp:posOffset>
            </wp:positionV>
            <wp:extent cx="1940400" cy="8748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0400" cy="87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ffff"/>
          <w:sz w:val="22"/>
          <w:szCs w:val="22"/>
        </w:rPr>
        <w:sectPr>
          <w:footerReference r:id="rId9" w:type="default"/>
          <w:pgSz w:h="16838" w:w="11906" w:orient="portrait"/>
          <w:pgMar w:bottom="907" w:top="907" w:left="907" w:right="907" w:header="567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sz w:val="86"/>
          <w:szCs w:val="86"/>
        </w:rPr>
      </w:pPr>
      <w:bookmarkStart w:colFirst="0" w:colLast="0" w:name="_heading=h.gjdgxs" w:id="0"/>
      <w:bookmarkEnd w:id="0"/>
      <w:r w:rsidDel="00000000" w:rsidR="00000000" w:rsidRPr="00000000">
        <w:rPr>
          <w:sz w:val="86"/>
          <w:szCs w:val="86"/>
          <w:rtl w:val="0"/>
        </w:rPr>
        <w:t xml:space="preserve">Bewijzen Werkingssubsidies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Poppins" w:cs="Poppins" w:eastAsia="Poppins" w:hAnsi="Poppins"/>
          <w:i w:val="1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rtl w:val="0"/>
        </w:rPr>
        <w:t xml:space="preserve">DEADLINE </w:t>
      </w: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: 15 juni 2024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Poppins" w:cs="Poppins" w:eastAsia="Poppins" w:hAnsi="Poppi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rtl w:val="0"/>
        </w:rPr>
        <w:t xml:space="preserve">OPGELET: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Enkel kringen/verenigingen die een volledige werkingssubsidie hebben aangevraagd en gekregen voor de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deadline van 1 december 2023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, of een halve werkingssubsidie voor de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deadline van 1 mei 2024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moeten deze bewijzen indienen.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6"/>
        <w:gridCol w:w="5046"/>
        <w:tblGridChange w:id="0">
          <w:tblGrid>
            <w:gridCol w:w="5046"/>
            <w:gridCol w:w="50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Naam kring/ vrije vereniging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Naam contactpersoon/personen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Poppins" w:cs="Poppins" w:eastAsia="Poppins" w:hAnsi="Poppi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Op de volgende pagina’s dien je de nodige bewijsstukken in door een beschrijving, link en verdere vragen in te vullen over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erkende evenementen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die de werkingen van je kring/vereniging vertegenwoordigen.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Voor kringen/verenigingen met een halve werkingssubsidie, is enkel bewijsstuk 1 voldoende.</w:t>
      </w:r>
    </w:p>
    <w:p w:rsidR="00000000" w:rsidDel="00000000" w:rsidP="00000000" w:rsidRDefault="00000000" w:rsidRPr="00000000" w14:paraId="00000014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rtl w:val="0"/>
        </w:rPr>
        <w:t xml:space="preserve">Let op de algemene voorwaarden bij het uitkiezen van je bewijsstukken:</w:t>
      </w:r>
    </w:p>
    <w:p w:rsidR="00000000" w:rsidDel="00000000" w:rsidP="00000000" w:rsidRDefault="00000000" w:rsidRPr="00000000" w14:paraId="00000016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Een erkend evenement is een evenement dat voldoet aan de volgende voorwaarden: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Openbaar toegankelijk door voldoende promo zodat het geen ‘gesloten’ evenement is dat maar een selectief publiek bereikt;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voldoende promo wordt gedefinieerd als minstens een openbaar evenement op Facebook of een post op een openbare Instagrampagina;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Toegankelijk voor elke Leuvense student (iedereen mag hieraan deelnemen en er mogen geen deelnemers doelbewust bij aanvang geweigerd worden);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Gericht op Leuvense studenten;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Niet louter recreatief (zoals een TD of een cantus);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Niet voornamelijk gericht op ledenwerving;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Zelfde inkomprijs voor leden als niet-leden;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Niet in samenwerking met andere verenigingen/organisaties georganiseerd.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rtl w:val="0"/>
        </w:rPr>
        <w:t xml:space="preserve">Voorbeelden: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Cultureel: bezoek aan een museum of monument, muzikaal optreden of toneel, poëzie-avond of workshop, …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Sportief: sportwedstrijd, recreatieve sportdag, initiatie unieke sport, danslessen, 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Lezing/debat: over eender welk (politiek pluralistisch) topic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Reis: lange cultuurreis, korte citytrip, … waarin minstens één uitstap/activiteit onder de bovenste categorieën valt (cultureel/sportief/lezing en debat).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Poppins" w:cs="Poppins" w:eastAsia="Poppins" w:hAnsi="Poppins"/>
          <w:u w:val="non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Niet zeker onder welke categorie je evenement/project valt, maar voldoet ze wel aan alle algemene voorwaarden? Dat mag ook!</w:t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heading=h.6nfud9myetyt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heading=h.8gx6ing298rm" w:id="2"/>
      <w:bookmarkEnd w:id="2"/>
      <w:r w:rsidDel="00000000" w:rsidR="00000000" w:rsidRPr="00000000">
        <w:rPr>
          <w:rtl w:val="0"/>
        </w:rPr>
        <w:t xml:space="preserve">Bewijsstuk 1: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6"/>
        <w:gridCol w:w="5046"/>
        <w:tblGridChange w:id="0">
          <w:tblGrid>
            <w:gridCol w:w="5046"/>
            <w:gridCol w:w="50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Naam evenement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Datum (in academiejaar 2023-2024)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Locatie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Link naar het evenement op openbare sociale media (bv. Facebook, Instagram):</w:t>
      </w:r>
    </w:p>
    <w:tbl>
      <w:tblPr>
        <w:tblStyle w:val="Table3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2"/>
        <w:tblGridChange w:id="0">
          <w:tblGrid>
            <w:gridCol w:w="100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*Vul hier je antwoord in*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Het evenement was niet louter recreatief, maar had een educatieve, culturele, sportieve of dergelijke meerwaarde. Leg uit waarom:</w:t>
      </w:r>
    </w:p>
    <w:tbl>
      <w:tblPr>
        <w:tblStyle w:val="Table4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2"/>
        <w:tblGridChange w:id="0">
          <w:tblGrid>
            <w:gridCol w:w="100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*Vul hier je antwoord in*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Het evenement was toegankelijk voor elke Leuvense student. Leg uit waarom:</w:t>
      </w:r>
    </w:p>
    <w:tbl>
      <w:tblPr>
        <w:tblStyle w:val="Table5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2"/>
        <w:tblGridChange w:id="0">
          <w:tblGrid>
            <w:gridCol w:w="100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*Vul hier je antwoord in*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Indien je graag foto’s, promo, of andere aspecten van je evenement deelt, mag dat zeker!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(Niet verplicht):</w:t>
      </w:r>
      <w:r w:rsidDel="00000000" w:rsidR="00000000" w:rsidRPr="00000000">
        <w:rPr>
          <w:rtl w:val="0"/>
        </w:rPr>
      </w:r>
    </w:p>
    <w:tbl>
      <w:tblPr>
        <w:tblStyle w:val="Table6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2"/>
        <w:tblGridChange w:id="0">
          <w:tblGrid>
            <w:gridCol w:w="100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*Optioneel*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Poppins" w:cs="Poppins" w:eastAsia="Poppins" w:hAnsi="Poppi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rPr/>
      </w:pPr>
      <w:bookmarkStart w:colFirst="0" w:colLast="0" w:name="_heading=h.bwu98ts5ihc2" w:id="3"/>
      <w:bookmarkEnd w:id="3"/>
      <w:r w:rsidDel="00000000" w:rsidR="00000000" w:rsidRPr="00000000">
        <w:rPr>
          <w:rtl w:val="0"/>
        </w:rPr>
        <w:t xml:space="preserve">Bewijsstuk 2:</w:t>
      </w:r>
    </w:p>
    <w:p w:rsidR="00000000" w:rsidDel="00000000" w:rsidP="00000000" w:rsidRDefault="00000000" w:rsidRPr="00000000" w14:paraId="0000003D">
      <w:pPr>
        <w:rPr>
          <w:rFonts w:ascii="Poppins" w:cs="Poppins" w:eastAsia="Poppins" w:hAnsi="Poppins"/>
          <w:i w:val="1"/>
        </w:rPr>
      </w:pP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Kringen/verenigingen met een halve werkingssubsidie hoeven enkel Bewijsstuk 1 in te dienen!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6"/>
        <w:gridCol w:w="5046"/>
        <w:tblGridChange w:id="0">
          <w:tblGrid>
            <w:gridCol w:w="5046"/>
            <w:gridCol w:w="50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Naam evenement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Datum (in academiejaar 2023-2024)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Locatie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Link naar het evenement op openbare sociale media (bv. Facebook, Instagram):</w:t>
      </w:r>
    </w:p>
    <w:tbl>
      <w:tblPr>
        <w:tblStyle w:val="Table8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2"/>
        <w:tblGridChange w:id="0">
          <w:tblGrid>
            <w:gridCol w:w="100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*Vul hier je antwoord in*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Het evenement was niet louter recreatief, maar had een educatieve, culturele, sportieve of dergelijke meerwaarde. Leg uit waarom:</w:t>
      </w:r>
    </w:p>
    <w:tbl>
      <w:tblPr>
        <w:tblStyle w:val="Table9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2"/>
        <w:tblGridChange w:id="0">
          <w:tblGrid>
            <w:gridCol w:w="100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*Vul hier je antwoord in*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Het evenement was toegankelijk voor elke Leuvense student? Leg uit waarom:</w:t>
      </w:r>
    </w:p>
    <w:tbl>
      <w:tblPr>
        <w:tblStyle w:val="Table10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2"/>
        <w:tblGridChange w:id="0">
          <w:tblGrid>
            <w:gridCol w:w="100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*Vul hier je antwoord in*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Indien je graag foto’s, promo, of andere aspecten van je evenement deelt, mag dat zeker!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(Niet verplicht):</w:t>
      </w:r>
      <w:r w:rsidDel="00000000" w:rsidR="00000000" w:rsidRPr="00000000">
        <w:rPr>
          <w:rtl w:val="0"/>
        </w:rPr>
      </w:r>
    </w:p>
    <w:tbl>
      <w:tblPr>
        <w:tblStyle w:val="Table11"/>
        <w:tblW w:w="1009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2"/>
        <w:tblGridChange w:id="0">
          <w:tblGrid>
            <w:gridCol w:w="100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*Optioneel*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907" w:top="907" w:left="907" w:right="907" w:header="567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a283a"/>
        <w:lang w:val="nl-B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</w:pPr>
    <w:rPr>
      <w:rFonts w:ascii="Century Gothic" w:cs="Century Gothic" w:eastAsia="Century Gothic" w:hAnsi="Century Gothic"/>
      <w:b w:val="1"/>
      <w:smallCaps w:val="1"/>
      <w:sz w:val="96"/>
      <w:szCs w:val="96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Rule="auto"/>
    </w:pPr>
    <w:rPr>
      <w:i w:val="1"/>
      <w:color w:val="0186ff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="240" w:lineRule="auto"/>
    </w:pPr>
    <w:rPr>
      <w:rFonts w:ascii="Century Gothic" w:cs="Century Gothic" w:eastAsia="Century Gothic" w:hAnsi="Century Gothic"/>
      <w:b w:val="1"/>
      <w:smallCaps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40" w:line="360" w:lineRule="auto"/>
    </w:pPr>
    <w:rPr>
      <w:i w:val="1"/>
      <w:color w:val="0186ff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40" w:line="360" w:lineRule="auto"/>
    </w:pPr>
    <w:rPr>
      <w:i w:val="1"/>
      <w:color w:val="0186ff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="240" w:lineRule="auto"/>
    </w:pPr>
    <w:rPr>
      <w:rFonts w:ascii="Century Gothic" w:cs="Century Gothic" w:eastAsia="Century Gothic" w:hAnsi="Century Gothic"/>
      <w:b w:val="1"/>
      <w:smallCaps w:val="1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18lnNqY5MCez7UO3ISVQYp0x9A==">CgMxLjAyCGguZ2pkZ3hzMg5oLjZuZnVkOW15ZXR5dDIOaC44Z3g2aW5nMjk4cm0yDmguYnd1OTh0czVpaGMyOAByITFDQUQ1UFdJcUZ0WFFSd3BJbm1NcDg4UmpuNlNodDNwXw==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