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rFonts w:ascii="Lato" w:cs="Lato" w:eastAsia="Lato" w:hAnsi="Lato"/>
          <w:color w:val="ffffff"/>
        </w:rPr>
      </w:pPr>
      <w:r w:rsidDel="00000000" w:rsidR="00000000" w:rsidRPr="00000000">
        <w:rPr>
          <w:rtl w:val="0"/>
        </w:rPr>
      </w:r>
    </w:p>
    <w:p w:rsidR="00000000" w:rsidDel="00000000" w:rsidP="00000000" w:rsidRDefault="00000000" w:rsidRPr="00000000" w14:paraId="00000002">
      <w:pPr>
        <w:spacing w:line="276" w:lineRule="auto"/>
        <w:rPr>
          <w:rFonts w:ascii="Lato" w:cs="Lato" w:eastAsia="Lato" w:hAnsi="Lato"/>
          <w:color w:val="ffffff"/>
        </w:rPr>
      </w:pPr>
      <w:r w:rsidDel="00000000" w:rsidR="00000000" w:rsidRPr="00000000">
        <w:rPr>
          <w:rFonts w:ascii="Lato" w:cs="Lato" w:eastAsia="Lato" w:hAnsi="Lato"/>
          <w:color w:val="ffffff"/>
          <w:rtl w:val="0"/>
        </w:rPr>
        <w:t xml:space="preserve">Operating subsidy</w:t>
      </w:r>
    </w:p>
    <w:p w:rsidR="00000000" w:rsidDel="00000000" w:rsidP="00000000" w:rsidRDefault="00000000" w:rsidRPr="00000000" w14:paraId="00000003">
      <w:pPr>
        <w:spacing w:line="276" w:lineRule="auto"/>
        <w:rPr>
          <w:rFonts w:ascii="Lato" w:cs="Lato" w:eastAsia="Lato" w:hAnsi="Lato"/>
          <w:color w:val="ffffff"/>
        </w:rPr>
      </w:pPr>
      <w:r w:rsidDel="00000000" w:rsidR="00000000" w:rsidRPr="00000000">
        <w:rPr>
          <w:rtl w:val="0"/>
        </w:rPr>
      </w:r>
    </w:p>
    <w:p w:rsidR="00000000" w:rsidDel="00000000" w:rsidP="00000000" w:rsidRDefault="00000000" w:rsidRPr="00000000" w14:paraId="00000004">
      <w:pPr>
        <w:spacing w:line="276" w:lineRule="auto"/>
        <w:rPr>
          <w:rFonts w:ascii="Lato" w:cs="Lato" w:eastAsia="Lato" w:hAnsi="Lato"/>
          <w:color w:val="ffffff"/>
        </w:rPr>
        <w:sectPr>
          <w:footerReference r:id="rId6" w:type="default"/>
          <w:pgSz w:h="16834" w:w="11909" w:orient="portrait"/>
          <w:pgMar w:bottom="1440" w:top="1440" w:left="1440" w:right="1440" w:header="720" w:footer="720"/>
          <w:pgNumType w:start="1"/>
        </w:sectPr>
      </w:pPr>
      <w:r w:rsidDel="00000000" w:rsidR="00000000" w:rsidRPr="00000000">
        <w:rPr>
          <w:rFonts w:ascii="Century Gothic" w:cs="Century Gothic" w:eastAsia="Century Gothic" w:hAnsi="Century Gothic"/>
          <w:color w:val="ffffff"/>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607625" cy="1651326"/>
                <wp:effectExtent b="0" l="0" r="0" t="0"/>
                <wp:wrapNone/>
                <wp:docPr id="1" name=""/>
                <a:graphic>
                  <a:graphicData uri="http://schemas.microsoft.com/office/word/2010/wordprocessingShape">
                    <wps:wsp>
                      <wps:cNvSpPr/>
                      <wps:cNvPr id="2" name="Shape 2"/>
                      <wps:spPr>
                        <a:xfrm>
                          <a:off x="1566000" y="2970000"/>
                          <a:ext cx="7560000" cy="1620000"/>
                        </a:xfrm>
                        <a:prstGeom prst="rect">
                          <a:avLst/>
                        </a:prstGeom>
                        <a:solidFill>
                          <a:srgbClr val="1155CC"/>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page">
                  <wp:align>top</wp:align>
                </wp:positionV>
                <wp:extent cx="7607625" cy="1651326"/>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607625" cy="1651326"/>
                        </a:xfrm>
                        <a:prstGeom prst="rect"/>
                        <a:ln/>
                      </pic:spPr>
                    </pic:pic>
                  </a:graphicData>
                </a:graphic>
              </wp:anchor>
            </w:drawing>
          </mc:Fallback>
        </mc:AlternateContent>
      </w:r>
      <w:r w:rsidDel="00000000" w:rsidR="00000000" w:rsidRPr="00000000">
        <w:rPr>
          <w:rFonts w:ascii="Lato" w:cs="Lato" w:eastAsia="Lato" w:hAnsi="Lato"/>
          <w:color w:val="ffffff"/>
        </w:rPr>
        <w:drawing>
          <wp:anchor allowOverlap="1" behindDoc="0" distB="0" distT="0" distL="114300" distR="114300" hidden="0" layoutInCell="1" locked="0" relativeHeight="0" simplePos="0">
            <wp:simplePos x="0" y="0"/>
            <wp:positionH relativeFrom="page">
              <wp:posOffset>5040630</wp:posOffset>
            </wp:positionH>
            <wp:positionV relativeFrom="page">
              <wp:posOffset>467994</wp:posOffset>
            </wp:positionV>
            <wp:extent cx="1940400" cy="8748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40400" cy="874800"/>
                    </a:xfrm>
                    <a:prstGeom prst="rect"/>
                    <a:ln/>
                  </pic:spPr>
                </pic:pic>
              </a:graphicData>
            </a:graphic>
          </wp:anchor>
        </w:drawing>
      </w:r>
      <w:r w:rsidDel="00000000" w:rsidR="00000000" w:rsidRPr="00000000">
        <w:rPr>
          <w:rtl w:val="0"/>
        </w:rPr>
      </w:r>
    </w:p>
    <w:p w:rsidR="00000000" w:rsidDel="00000000" w:rsidP="00000000" w:rsidRDefault="00000000" w:rsidRPr="00000000" w14:paraId="00000005">
      <w:pPr>
        <w:spacing w:line="276" w:lineRule="auto"/>
        <w:rPr>
          <w:rFonts w:ascii="Lato" w:cs="Lato" w:eastAsia="Lato" w:hAnsi="Lato"/>
          <w:color w:val="1a283a"/>
          <w:sz w:val="20"/>
          <w:szCs w:val="20"/>
        </w:rPr>
      </w:pPr>
      <w:r w:rsidDel="00000000" w:rsidR="00000000" w:rsidRPr="00000000">
        <w:rPr>
          <w:rtl w:val="0"/>
        </w:rPr>
      </w:r>
    </w:p>
    <w:p w:rsidR="00000000" w:rsidDel="00000000" w:rsidP="00000000" w:rsidRDefault="00000000" w:rsidRPr="00000000" w14:paraId="00000006">
      <w:pPr>
        <w:keepLines w:val="1"/>
        <w:spacing w:line="240" w:lineRule="auto"/>
        <w:jc w:val="both"/>
        <w:rPr>
          <w:rFonts w:ascii="Century Gothic" w:cs="Century Gothic" w:eastAsia="Century Gothic" w:hAnsi="Century Gothic"/>
          <w:b w:val="1"/>
          <w:bCs w:val="1"/>
          <w:smallCaps w:val="1"/>
          <w:color w:val="1a283a"/>
          <w:sz w:val="82"/>
          <w:szCs w:val="82"/>
        </w:rPr>
      </w:pPr>
      <w:bookmarkStart w:colFirst="0" w:colLast="0" w:name="_gjdgxs" w:id="0"/>
      <w:bookmarkEnd w:id="0"/>
      <w:r w:rsidDel="00000000" w:rsidR="00000000" w:rsidRPr="00000000">
        <w:rPr>
          <w:rFonts w:ascii="Century Gothic" w:cs="Century Gothic" w:eastAsia="Century Gothic" w:hAnsi="Century Gothic"/>
          <w:b w:val="1"/>
          <w:bCs w:val="1"/>
          <w:smallCaps w:val="1"/>
          <w:color w:val="1a283a"/>
          <w:sz w:val="82"/>
          <w:szCs w:val="82"/>
          <w:rtl w:val="0"/>
        </w:rPr>
        <w:t xml:space="preserve">Application operating subsidies</w:t>
      </w:r>
    </w:p>
    <w:p w:rsidR="00000000" w:rsidDel="00000000" w:rsidP="00000000" w:rsidRDefault="00000000" w:rsidRPr="00000000" w14:paraId="00000007">
      <w:pPr>
        <w:widowControl w:val="0"/>
        <w:spacing w:line="240" w:lineRule="auto"/>
        <w:jc w:val="both"/>
        <w:rPr>
          <w:rFonts w:ascii="Poppins" w:cs="Poppins" w:eastAsia="Poppins" w:hAnsi="Poppins"/>
          <w:b w:val="1"/>
          <w:bCs w:val="1"/>
          <w:color w:val="1a283a"/>
          <w:sz w:val="20"/>
          <w:szCs w:val="20"/>
        </w:rPr>
      </w:pPr>
      <w:r w:rsidDel="00000000" w:rsidR="00000000" w:rsidRPr="00000000">
        <w:rPr>
          <w:rFonts w:ascii="Poppins" w:cs="Poppins" w:eastAsia="Poppins" w:hAnsi="Poppins"/>
          <w:b w:val="1"/>
          <w:bCs w:val="1"/>
          <w:i w:val="1"/>
          <w:iCs w:val="1"/>
          <w:color w:val="1a283a"/>
          <w:sz w:val="20"/>
          <w:szCs w:val="20"/>
          <w:rtl w:val="0"/>
        </w:rPr>
        <w:t xml:space="preserve">DEADLINES</w:t>
      </w:r>
      <w:r w:rsidDel="00000000" w:rsidR="00000000" w:rsidRPr="00000000">
        <w:rPr>
          <w:rFonts w:ascii="Poppins" w:cs="Poppins" w:eastAsia="Poppins" w:hAnsi="Poppins"/>
          <w:i w:val="1"/>
          <w:iCs w:val="1"/>
          <w:color w:val="1a283a"/>
          <w:sz w:val="20"/>
          <w:szCs w:val="20"/>
          <w:rtl w:val="0"/>
        </w:rPr>
        <w:t xml:space="preserve">:</w:t>
        <w:tab/>
        <w:t xml:space="preserve">application full operating subsidy</w:t>
        <w:tab/>
        <w:tab/>
      </w:r>
      <w:r w:rsidDel="00000000" w:rsidR="00000000" w:rsidRPr="00000000">
        <w:rPr>
          <w:rFonts w:ascii="Poppins" w:cs="Poppins" w:eastAsia="Poppins" w:hAnsi="Poppins"/>
          <w:b w:val="1"/>
          <w:bCs w:val="1"/>
          <w:color w:val="1a283a"/>
          <w:sz w:val="20"/>
          <w:szCs w:val="20"/>
          <w:rtl w:val="0"/>
        </w:rPr>
        <w:t xml:space="preserve">December 1st</w:t>
      </w:r>
    </w:p>
    <w:p w:rsidR="00000000" w:rsidDel="00000000" w:rsidP="00000000" w:rsidRDefault="00000000" w:rsidRPr="00000000" w14:paraId="00000008">
      <w:pPr>
        <w:widowControl w:val="0"/>
        <w:spacing w:line="240" w:lineRule="auto"/>
        <w:jc w:val="both"/>
        <w:rPr>
          <w:rFonts w:ascii="Poppins" w:cs="Poppins" w:eastAsia="Poppins" w:hAnsi="Poppins"/>
          <w:color w:val="1a283a"/>
          <w:sz w:val="20"/>
          <w:szCs w:val="20"/>
        </w:rPr>
      </w:pPr>
      <w:r w:rsidDel="00000000" w:rsidR="00000000" w:rsidRPr="00000000">
        <w:rPr>
          <w:rFonts w:ascii="Poppins" w:cs="Poppins" w:eastAsia="Poppins" w:hAnsi="Poppins"/>
          <w:i w:val="1"/>
          <w:iCs w:val="1"/>
          <w:color w:val="1a283a"/>
          <w:sz w:val="20"/>
          <w:szCs w:val="20"/>
          <w:rtl w:val="0"/>
        </w:rPr>
        <w:tab/>
        <w:tab/>
        <w:t xml:space="preserve">application half operating subsidy</w:t>
        <w:tab/>
        <w:tab/>
      </w:r>
      <w:r w:rsidDel="00000000" w:rsidR="00000000" w:rsidRPr="00000000">
        <w:rPr>
          <w:rFonts w:ascii="Poppins" w:cs="Poppins" w:eastAsia="Poppins" w:hAnsi="Poppins"/>
          <w:b w:val="1"/>
          <w:bCs w:val="1"/>
          <w:color w:val="1a283a"/>
          <w:sz w:val="20"/>
          <w:szCs w:val="20"/>
          <w:rtl w:val="0"/>
        </w:rPr>
        <w:t xml:space="preserve">May 1st</w:t>
      </w:r>
      <w:r w:rsidDel="00000000" w:rsidR="00000000" w:rsidRPr="00000000">
        <w:rPr>
          <w:rtl w:val="0"/>
        </w:rPr>
      </w:r>
    </w:p>
    <w:p w:rsidR="00000000" w:rsidDel="00000000" w:rsidP="00000000" w:rsidRDefault="00000000" w:rsidRPr="00000000" w14:paraId="00000009">
      <w:pPr>
        <w:widowControl w:val="0"/>
        <w:spacing w:line="240" w:lineRule="auto"/>
        <w:jc w:val="both"/>
        <w:rPr>
          <w:rFonts w:ascii="Poppins" w:cs="Poppins" w:eastAsia="Poppins" w:hAnsi="Poppins"/>
          <w:b w:val="1"/>
          <w:bCs w:val="1"/>
          <w:color w:val="1a283a"/>
          <w:sz w:val="20"/>
          <w:szCs w:val="20"/>
        </w:rPr>
      </w:pPr>
      <w:r w:rsidDel="00000000" w:rsidR="00000000" w:rsidRPr="00000000">
        <w:rPr>
          <w:rFonts w:ascii="Poppins" w:cs="Poppins" w:eastAsia="Poppins" w:hAnsi="Poppins"/>
          <w:color w:val="1a283a"/>
          <w:sz w:val="20"/>
          <w:szCs w:val="20"/>
          <w:rtl w:val="0"/>
        </w:rPr>
        <w:tab/>
        <w:tab/>
      </w:r>
      <w:hyperlink r:id="rId9">
        <w:r w:rsidDel="00000000" w:rsidR="00000000" w:rsidRPr="00000000">
          <w:rPr>
            <w:rFonts w:ascii="Poppins" w:cs="Poppins" w:eastAsia="Poppins" w:hAnsi="Poppins"/>
            <w:i w:val="1"/>
            <w:iCs w:val="1"/>
            <w:color w:val="1155cc"/>
            <w:sz w:val="20"/>
            <w:szCs w:val="20"/>
            <w:u w:val="single"/>
            <w:rtl w:val="0"/>
          </w:rPr>
          <w:t xml:space="preserve">hand-in proof </w:t>
        </w:r>
      </w:hyperlink>
      <w:hyperlink r:id="rId10">
        <w:r w:rsidDel="00000000" w:rsidR="00000000" w:rsidRPr="00000000">
          <w:rPr>
            <w:rFonts w:ascii="Poppins" w:cs="Poppins" w:eastAsia="Poppins" w:hAnsi="Poppins"/>
            <w:i w:val="1"/>
            <w:iCs w:val="1"/>
            <w:color w:val="1155cc"/>
            <w:sz w:val="20"/>
            <w:szCs w:val="20"/>
            <w:u w:val="single"/>
            <w:rtl w:val="0"/>
          </w:rPr>
          <w:t xml:space="preserve">operating subsidy</w:t>
        </w:r>
      </w:hyperlink>
      <w:r w:rsidDel="00000000" w:rsidR="00000000" w:rsidRPr="00000000">
        <w:rPr>
          <w:rFonts w:ascii="Poppins" w:cs="Poppins" w:eastAsia="Poppins" w:hAnsi="Poppins"/>
          <w:color w:val="1a283a"/>
          <w:sz w:val="20"/>
          <w:szCs w:val="20"/>
          <w:rtl w:val="0"/>
        </w:rPr>
        <w:tab/>
        <w:tab/>
      </w:r>
      <w:r w:rsidDel="00000000" w:rsidR="00000000" w:rsidRPr="00000000">
        <w:rPr>
          <w:rFonts w:ascii="Poppins" w:cs="Poppins" w:eastAsia="Poppins" w:hAnsi="Poppins"/>
          <w:b w:val="1"/>
          <w:bCs w:val="1"/>
          <w:color w:val="1a283a"/>
          <w:sz w:val="20"/>
          <w:szCs w:val="20"/>
          <w:rtl w:val="0"/>
        </w:rPr>
        <w:t xml:space="preserve">June 15th</w:t>
      </w:r>
    </w:p>
    <w:p w:rsidR="00000000" w:rsidDel="00000000" w:rsidP="00000000" w:rsidRDefault="00000000" w:rsidRPr="00000000" w14:paraId="0000000A">
      <w:pPr>
        <w:jc w:val="both"/>
        <w:rPr>
          <w:rFonts w:ascii="Poppins" w:cs="Poppins" w:eastAsia="Poppins" w:hAnsi="Poppins"/>
          <w:color w:val="1a283a"/>
          <w:sz w:val="20"/>
          <w:szCs w:val="20"/>
        </w:rPr>
      </w:pPr>
      <w:r w:rsidDel="00000000" w:rsidR="00000000" w:rsidRPr="00000000">
        <w:rPr>
          <w:rtl w:val="0"/>
        </w:rPr>
      </w:r>
    </w:p>
    <w:tbl>
      <w:tblPr>
        <w:tblStyle w:val="Table1"/>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47.5"/>
        <w:gridCol w:w="5047.5"/>
        <w:tblGridChange w:id="0">
          <w:tblGrid>
            <w:gridCol w:w="5047.5"/>
            <w:gridCol w:w="504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both"/>
              <w:rPr>
                <w:rFonts w:ascii="Poppins" w:cs="Poppins" w:eastAsia="Poppins" w:hAnsi="Poppins"/>
                <w:b w:val="1"/>
                <w:bCs w:val="1"/>
                <w:color w:val="1a283a"/>
                <w:sz w:val="20"/>
                <w:szCs w:val="20"/>
              </w:rPr>
            </w:pPr>
            <w:r w:rsidDel="00000000" w:rsidR="00000000" w:rsidRPr="00000000">
              <w:rPr>
                <w:rFonts w:ascii="Poppins" w:cs="Poppins" w:eastAsia="Poppins" w:hAnsi="Poppins"/>
                <w:b w:val="1"/>
                <w:bCs w:val="1"/>
                <w:color w:val="1a283a"/>
                <w:sz w:val="20"/>
                <w:szCs w:val="20"/>
                <w:rtl w:val="0"/>
              </w:rPr>
              <w:t xml:space="preserve">Name </w:t>
            </w:r>
            <w:sdt>
              <w:sdtPr>
                <w:alias w:val="kring of VV"/>
                <w:id w:val="-1551965729"/>
                <w:dropDownList w:lastValue="kring (click here)">
                  <w:listItem w:displayText="kring (click here)" w:value="kring (click here)"/>
                  <w:listItem w:displayText="free association" w:value="free association"/>
                </w:dropDownList>
              </w:sdtPr>
              <w:sdtContent>
                <w:r w:rsidDel="00000000" w:rsidR="00000000" w:rsidRPr="00000000">
                  <w:rPr>
                    <w:rFonts w:ascii="Poppins" w:cs="Poppins" w:eastAsia="Poppins" w:hAnsi="Poppins"/>
                    <w:b w:val="1"/>
                    <w:bCs w:val="1"/>
                    <w:color w:val="0a53a8"/>
                    <w:sz w:val="20"/>
                    <w:szCs w:val="20"/>
                    <w:shd w:fill="bfe1f6" w:val="clear"/>
                  </w:rPr>
                  <w:t xml:space="preserve">kring (click here)</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both"/>
              <w:rPr>
                <w:rFonts w:ascii="Poppins" w:cs="Poppins" w:eastAsia="Poppins" w:hAnsi="Poppins"/>
                <w:color w:val="1a283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jc w:val="both"/>
              <w:rPr>
                <w:rFonts w:ascii="Poppins" w:cs="Poppins" w:eastAsia="Poppins" w:hAnsi="Poppins"/>
                <w:b w:val="1"/>
                <w:bCs w:val="1"/>
                <w:color w:val="1a283a"/>
                <w:sz w:val="20"/>
                <w:szCs w:val="20"/>
              </w:rPr>
            </w:pPr>
            <w:r w:rsidDel="00000000" w:rsidR="00000000" w:rsidRPr="00000000">
              <w:rPr>
                <w:rFonts w:ascii="Poppins" w:cs="Poppins" w:eastAsia="Poppins" w:hAnsi="Poppins"/>
                <w:b w:val="1"/>
                <w:bCs w:val="1"/>
                <w:color w:val="1a283a"/>
                <w:sz w:val="20"/>
                <w:szCs w:val="20"/>
                <w:rtl w:val="0"/>
              </w:rPr>
              <w:t xml:space="preserve">Name contact person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both"/>
              <w:rPr>
                <w:rFonts w:ascii="Poppins" w:cs="Poppins" w:eastAsia="Poppins" w:hAnsi="Poppins"/>
                <w:color w:val="1a283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both"/>
              <w:rPr>
                <w:rFonts w:ascii="Poppins" w:cs="Poppins" w:eastAsia="Poppins" w:hAnsi="Poppins"/>
                <w:b w:val="1"/>
                <w:bCs w:val="1"/>
                <w:color w:val="1a283a"/>
                <w:sz w:val="20"/>
                <w:szCs w:val="20"/>
              </w:rPr>
            </w:pPr>
            <w:r w:rsidDel="00000000" w:rsidR="00000000" w:rsidRPr="00000000">
              <w:rPr>
                <w:rFonts w:ascii="Poppins" w:cs="Poppins" w:eastAsia="Poppins" w:hAnsi="Poppins"/>
                <w:b w:val="1"/>
                <w:bCs w:val="1"/>
                <w:color w:val="1a283a"/>
                <w:sz w:val="20"/>
                <w:szCs w:val="20"/>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both"/>
              <w:rPr>
                <w:rFonts w:ascii="Poppins" w:cs="Poppins" w:eastAsia="Poppins" w:hAnsi="Poppins"/>
                <w:color w:val="1a283a"/>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jc w:val="both"/>
              <w:rPr>
                <w:rFonts w:ascii="Poppins" w:cs="Poppins" w:eastAsia="Poppins" w:hAnsi="Poppins"/>
                <w:b w:val="1"/>
                <w:bCs w:val="1"/>
                <w:color w:val="1a283a"/>
                <w:sz w:val="20"/>
                <w:szCs w:val="20"/>
              </w:rPr>
            </w:pPr>
            <w:r w:rsidDel="00000000" w:rsidR="00000000" w:rsidRPr="00000000">
              <w:rPr>
                <w:rFonts w:ascii="Poppins" w:cs="Poppins" w:eastAsia="Poppins" w:hAnsi="Poppins"/>
                <w:b w:val="1"/>
                <w:bCs w:val="1"/>
                <w:color w:val="1a283a"/>
                <w:sz w:val="20"/>
                <w:szCs w:val="20"/>
                <w:rtl w:val="0"/>
              </w:rPr>
              <w:t xml:space="preserve">IBAN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both"/>
              <w:rPr>
                <w:rFonts w:ascii="Poppins" w:cs="Poppins" w:eastAsia="Poppins" w:hAnsi="Poppins"/>
                <w:color w:val="1a283a"/>
                <w:sz w:val="20"/>
                <w:szCs w:val="20"/>
              </w:rPr>
            </w:pPr>
            <w:r w:rsidDel="00000000" w:rsidR="00000000" w:rsidRPr="00000000">
              <w:rPr>
                <w:rtl w:val="0"/>
              </w:rPr>
            </w:r>
          </w:p>
        </w:tc>
      </w:tr>
    </w:tbl>
    <w:p w:rsidR="00000000" w:rsidDel="00000000" w:rsidP="00000000" w:rsidRDefault="00000000" w:rsidRPr="00000000" w14:paraId="00000013">
      <w:pPr>
        <w:jc w:val="both"/>
        <w:rPr>
          <w:rFonts w:ascii="Poppins" w:cs="Poppins" w:eastAsia="Poppins" w:hAnsi="Poppins"/>
          <w:color w:val="1a283a"/>
          <w:sz w:val="20"/>
          <w:szCs w:val="20"/>
        </w:rPr>
      </w:pPr>
      <w:r w:rsidDel="00000000" w:rsidR="00000000" w:rsidRPr="00000000">
        <w:rPr>
          <w:rtl w:val="0"/>
        </w:rPr>
      </w:r>
    </w:p>
    <w:p w:rsidR="00000000" w:rsidDel="00000000" w:rsidP="00000000" w:rsidRDefault="00000000" w:rsidRPr="00000000" w14:paraId="00000014">
      <w:pPr>
        <w:jc w:val="both"/>
        <w:rPr>
          <w:rFonts w:ascii="Poppins" w:cs="Poppins" w:eastAsia="Poppins" w:hAnsi="Poppins"/>
          <w:b w:val="1"/>
          <w:bCs w:val="1"/>
          <w:color w:val="1a283a"/>
          <w:sz w:val="20"/>
          <w:szCs w:val="20"/>
        </w:rPr>
      </w:pPr>
      <w:r w:rsidDel="00000000" w:rsidR="00000000" w:rsidRPr="00000000">
        <w:rPr>
          <w:rFonts w:ascii="Poppins" w:cs="Poppins" w:eastAsia="Poppins" w:hAnsi="Poppins"/>
          <w:b w:val="1"/>
          <w:bCs w:val="1"/>
          <w:color w:val="1a283a"/>
          <w:sz w:val="20"/>
          <w:szCs w:val="20"/>
          <w:rtl w:val="0"/>
        </w:rPr>
        <w:t xml:space="preserve">Does your kring/association request the standard operating subsidy?</w:t>
      </w:r>
    </w:p>
    <w:p w:rsidR="00000000" w:rsidDel="00000000" w:rsidP="00000000" w:rsidRDefault="00000000" w:rsidRPr="00000000" w14:paraId="00000015">
      <w:pPr>
        <w:jc w:val="both"/>
        <w:rPr>
          <w:rFonts w:ascii="Poppins" w:cs="Poppins" w:eastAsia="Poppins" w:hAnsi="Poppins"/>
          <w:color w:val="1a283a"/>
          <w:sz w:val="20"/>
          <w:szCs w:val="20"/>
        </w:rPr>
      </w:pPr>
      <w:sdt>
        <w:sdtPr>
          <w:alias w:val="Configuratie 1"/>
          <w:id w:val="-344678090"/>
          <w:dropDownList w:lastValue="Full operating subsidy (€100; until December 1st) (click here)">
            <w:listItem w:displayText="Full operating subsidy (€100; until December 1st) (click here)" w:value="Full operating subsidy (€100; until December 1st) (click here)"/>
            <w:listItem w:displayText="Half operating subsidy (€50; until May 1st)" w:value="Half operating subsidy (€50; until May 1st)"/>
            <w:listItem w:displayText="We are a kring, we receive operating subsidies based on our votes in the LOKO General Assembly" w:value="We are a kring, we receive operating subsidies based on our votes in the LOKO General Assembly"/>
          </w:dropDownList>
        </w:sdtPr>
        <w:sdtContent>
          <w:r w:rsidDel="00000000" w:rsidR="00000000" w:rsidRPr="00000000">
            <w:rPr>
              <w:rFonts w:ascii="Poppins" w:cs="Poppins" w:eastAsia="Poppins" w:hAnsi="Poppins"/>
              <w:color w:val="11734b"/>
              <w:sz w:val="20"/>
              <w:szCs w:val="20"/>
              <w:shd w:fill="d4edbc" w:val="clear"/>
            </w:rPr>
            <w:t xml:space="preserve">Full operating subsidy (€100; until December 1st) (click here)</w:t>
          </w:r>
        </w:sdtContent>
      </w:sdt>
      <w:r w:rsidDel="00000000" w:rsidR="00000000" w:rsidRPr="00000000">
        <w:rPr>
          <w:rtl w:val="0"/>
        </w:rPr>
      </w:r>
    </w:p>
    <w:p w:rsidR="00000000" w:rsidDel="00000000" w:rsidP="00000000" w:rsidRDefault="00000000" w:rsidRPr="00000000" w14:paraId="00000016">
      <w:pPr>
        <w:jc w:val="both"/>
        <w:rPr>
          <w:rFonts w:ascii="Poppins" w:cs="Poppins" w:eastAsia="Poppins" w:hAnsi="Poppins"/>
          <w:color w:val="1a283a"/>
          <w:sz w:val="20"/>
          <w:szCs w:val="20"/>
        </w:rPr>
      </w:pPr>
      <w:r w:rsidDel="00000000" w:rsidR="00000000" w:rsidRPr="00000000">
        <w:rPr>
          <w:rtl w:val="0"/>
        </w:rPr>
      </w:r>
    </w:p>
    <w:p w:rsidR="00000000" w:rsidDel="00000000" w:rsidP="00000000" w:rsidRDefault="00000000" w:rsidRPr="00000000" w14:paraId="00000017">
      <w:pPr>
        <w:jc w:val="both"/>
        <w:rPr>
          <w:rFonts w:ascii="Poppins" w:cs="Poppins" w:eastAsia="Poppins" w:hAnsi="Poppins"/>
          <w:color w:val="1a283a"/>
          <w:sz w:val="20"/>
          <w:szCs w:val="20"/>
        </w:rPr>
      </w:pPr>
      <w:r w:rsidDel="00000000" w:rsidR="00000000" w:rsidRPr="00000000">
        <w:rPr>
          <w:rFonts w:ascii="Poppins" w:cs="Poppins" w:eastAsia="Poppins" w:hAnsi="Poppins"/>
          <w:color w:val="1a283a"/>
          <w:sz w:val="20"/>
          <w:szCs w:val="20"/>
          <w:rtl w:val="0"/>
        </w:rPr>
        <w:t xml:space="preserve">By requesting the operating subsidy you acknowledge to have taken notice of the </w:t>
      </w:r>
      <w:hyperlink r:id="rId11">
        <w:r w:rsidDel="00000000" w:rsidR="00000000" w:rsidRPr="00000000">
          <w:rPr>
            <w:rFonts w:ascii="Poppins" w:cs="Poppins" w:eastAsia="Poppins" w:hAnsi="Poppins"/>
            <w:color w:val="1155cc"/>
            <w:sz w:val="20"/>
            <w:szCs w:val="20"/>
            <w:u w:val="single"/>
            <w:rtl w:val="0"/>
          </w:rPr>
          <w:t xml:space="preserve">LOKO Subsidy regulations</w:t>
        </w:r>
      </w:hyperlink>
      <w:r w:rsidDel="00000000" w:rsidR="00000000" w:rsidRPr="00000000">
        <w:rPr>
          <w:rFonts w:ascii="Poppins" w:cs="Poppins" w:eastAsia="Poppins" w:hAnsi="Poppins"/>
          <w:color w:val="1a283a"/>
          <w:sz w:val="20"/>
          <w:szCs w:val="20"/>
          <w:rtl w:val="0"/>
        </w:rPr>
        <w:t xml:space="preserve"> on the subject of operating subsidies and the proofs that have to be handed in at the end of the working year.</w:t>
      </w:r>
    </w:p>
    <w:p w:rsidR="00000000" w:rsidDel="00000000" w:rsidP="00000000" w:rsidRDefault="00000000" w:rsidRPr="00000000" w14:paraId="00000018">
      <w:pPr>
        <w:jc w:val="both"/>
        <w:rPr>
          <w:rFonts w:ascii="Poppins" w:cs="Poppins" w:eastAsia="Poppins" w:hAnsi="Poppins"/>
          <w:color w:val="1a283a"/>
          <w:sz w:val="20"/>
          <w:szCs w:val="20"/>
        </w:rPr>
      </w:pPr>
      <w:r w:rsidDel="00000000" w:rsidR="00000000" w:rsidRPr="00000000">
        <w:rPr>
          <w:rtl w:val="0"/>
        </w:rPr>
      </w:r>
    </w:p>
    <w:p w:rsidR="00000000" w:rsidDel="00000000" w:rsidP="00000000" w:rsidRDefault="00000000" w:rsidRPr="00000000" w14:paraId="00000019">
      <w:pPr>
        <w:jc w:val="both"/>
        <w:rPr>
          <w:rFonts w:ascii="Poppins" w:cs="Poppins" w:eastAsia="Poppins" w:hAnsi="Poppins"/>
          <w:color w:val="1a283a"/>
          <w:sz w:val="20"/>
          <w:szCs w:val="20"/>
        </w:rPr>
      </w:pPr>
      <w:r w:rsidDel="00000000" w:rsidR="00000000" w:rsidRPr="00000000">
        <w:rPr>
          <w:rFonts w:ascii="Poppins" w:cs="Poppins" w:eastAsia="Poppins" w:hAnsi="Poppins"/>
          <w:color w:val="1a283a"/>
          <w:sz w:val="20"/>
          <w:szCs w:val="20"/>
          <w:rtl w:val="0"/>
        </w:rPr>
        <w:t xml:space="preserve">If you are not in order with the proof of the operating subsidy by the deadline of June 15th, your association will be unable to request operating subsidies in the next academic year.</w:t>
      </w:r>
    </w:p>
    <w:p w:rsidR="00000000" w:rsidDel="00000000" w:rsidP="00000000" w:rsidRDefault="00000000" w:rsidRPr="00000000" w14:paraId="0000001A">
      <w:pPr>
        <w:jc w:val="both"/>
        <w:rPr>
          <w:rFonts w:ascii="Poppins" w:cs="Poppins" w:eastAsia="Poppins" w:hAnsi="Poppins"/>
          <w:color w:val="1a283a"/>
          <w:sz w:val="20"/>
          <w:szCs w:val="20"/>
        </w:rPr>
      </w:pPr>
      <w:r w:rsidDel="00000000" w:rsidR="00000000" w:rsidRPr="00000000">
        <w:rPr>
          <w:rtl w:val="0"/>
        </w:rPr>
      </w:r>
    </w:p>
    <w:p w:rsidR="00000000" w:rsidDel="00000000" w:rsidP="00000000" w:rsidRDefault="00000000" w:rsidRPr="00000000" w14:paraId="0000001B">
      <w:pPr>
        <w:jc w:val="both"/>
        <w:rPr>
          <w:rFonts w:ascii="Poppins" w:cs="Poppins" w:eastAsia="Poppins" w:hAnsi="Poppins"/>
          <w:color w:val="1a283a"/>
          <w:sz w:val="20"/>
          <w:szCs w:val="20"/>
        </w:rPr>
      </w:pPr>
      <w:r w:rsidDel="00000000" w:rsidR="00000000" w:rsidRPr="00000000">
        <w:rPr>
          <w:rFonts w:ascii="Poppins" w:cs="Poppins" w:eastAsia="Poppins" w:hAnsi="Poppins"/>
          <w:b w:val="1"/>
          <w:bCs w:val="1"/>
          <w:color w:val="1a283a"/>
          <w:sz w:val="20"/>
          <w:szCs w:val="20"/>
          <w:rtl w:val="0"/>
        </w:rPr>
        <w:t xml:space="preserve">Does your free association take up an engagement subsidy on top of the standard operating subsidy?</w:t>
      </w:r>
      <w:r w:rsidDel="00000000" w:rsidR="00000000" w:rsidRPr="00000000">
        <w:rPr>
          <w:rtl w:val="0"/>
        </w:rPr>
      </w:r>
    </w:p>
    <w:p w:rsidR="00000000" w:rsidDel="00000000" w:rsidP="00000000" w:rsidRDefault="00000000" w:rsidRPr="00000000" w14:paraId="0000001C">
      <w:pPr>
        <w:jc w:val="both"/>
        <w:rPr>
          <w:rFonts w:ascii="Poppins" w:cs="Poppins" w:eastAsia="Poppins" w:hAnsi="Poppins"/>
          <w:color w:val="1a283a"/>
          <w:sz w:val="20"/>
          <w:szCs w:val="20"/>
        </w:rPr>
      </w:pPr>
      <w:sdt>
        <w:sdtPr>
          <w:alias w:val="Configuratie 1"/>
          <w:id w:val="495224955"/>
          <w:dropDownList w:lastValue="Full engagement request (+€200; until December 1st) (click here)">
            <w:listItem w:displayText="Full engagement request (+€200; until December 1st) (click here)" w:value="Full engagement request (+€200; until December 1st) (click here)"/>
            <w:listItem w:displayText="Half engagement request (+€100; until May 1st)" w:value="Half engagement request (+€100; until May 1st)"/>
            <w:listItem w:displayText="No engagement request" w:value="No engagement request"/>
            <w:listItem w:displayText="Not applicable, we are a kring" w:value="Not applicable, we are a kring"/>
          </w:dropDownList>
        </w:sdtPr>
        <w:sdtContent>
          <w:r w:rsidDel="00000000" w:rsidR="00000000" w:rsidRPr="00000000">
            <w:rPr>
              <w:rFonts w:ascii="Poppins" w:cs="Poppins" w:eastAsia="Poppins" w:hAnsi="Poppins"/>
              <w:color w:val="11734b"/>
              <w:sz w:val="20"/>
              <w:szCs w:val="20"/>
              <w:shd w:fill="d4edbc" w:val="clear"/>
            </w:rPr>
            <w:t xml:space="preserve">Full engagement request (+€200; until December 1st) (click here)</w:t>
          </w:r>
        </w:sdtContent>
      </w:sdt>
      <w:r w:rsidDel="00000000" w:rsidR="00000000" w:rsidRPr="00000000">
        <w:rPr>
          <w:rtl w:val="0"/>
        </w:rPr>
      </w:r>
    </w:p>
    <w:p w:rsidR="00000000" w:rsidDel="00000000" w:rsidP="00000000" w:rsidRDefault="00000000" w:rsidRPr="00000000" w14:paraId="0000001D">
      <w:pPr>
        <w:jc w:val="both"/>
        <w:rPr>
          <w:rFonts w:ascii="Poppins" w:cs="Poppins" w:eastAsia="Poppins" w:hAnsi="Poppins"/>
          <w:color w:val="1a283a"/>
          <w:sz w:val="20"/>
          <w:szCs w:val="20"/>
        </w:rPr>
      </w:pPr>
      <w:r w:rsidDel="00000000" w:rsidR="00000000" w:rsidRPr="00000000">
        <w:rPr>
          <w:rtl w:val="0"/>
        </w:rPr>
      </w:r>
    </w:p>
    <w:p w:rsidR="00000000" w:rsidDel="00000000" w:rsidP="00000000" w:rsidRDefault="00000000" w:rsidRPr="00000000" w14:paraId="0000001E">
      <w:pPr>
        <w:jc w:val="both"/>
        <w:rPr>
          <w:rFonts w:ascii="Poppins" w:cs="Poppins" w:eastAsia="Poppins" w:hAnsi="Poppins"/>
          <w:color w:val="1a283a"/>
          <w:sz w:val="20"/>
          <w:szCs w:val="20"/>
        </w:rPr>
      </w:pPr>
      <w:r w:rsidDel="00000000" w:rsidR="00000000" w:rsidRPr="00000000">
        <w:rPr>
          <w:rFonts w:ascii="Poppins" w:cs="Poppins" w:eastAsia="Poppins" w:hAnsi="Poppins"/>
          <w:color w:val="1a283a"/>
          <w:sz w:val="20"/>
          <w:szCs w:val="20"/>
          <w:rtl w:val="0"/>
        </w:rPr>
        <w:t xml:space="preserve">By making the engagement request, the association promises to work a total of 12h (in the case of a full engagement request) or 6h (in the case of a half engagement request) of shifts for LOKO. This in exchange for an engagement subsidy of €200 and €100 respectively.</w:t>
      </w:r>
    </w:p>
    <w:p w:rsidR="00000000" w:rsidDel="00000000" w:rsidP="00000000" w:rsidRDefault="00000000" w:rsidRPr="00000000" w14:paraId="0000001F">
      <w:pPr>
        <w:jc w:val="both"/>
        <w:rPr>
          <w:rFonts w:ascii="Poppins" w:cs="Poppins" w:eastAsia="Poppins" w:hAnsi="Poppins"/>
          <w:color w:val="1a283a"/>
          <w:sz w:val="20"/>
          <w:szCs w:val="20"/>
        </w:rPr>
      </w:pPr>
      <w:r w:rsidDel="00000000" w:rsidR="00000000" w:rsidRPr="00000000">
        <w:rPr>
          <w:rtl w:val="0"/>
        </w:rPr>
      </w:r>
    </w:p>
    <w:p w:rsidR="00000000" w:rsidDel="00000000" w:rsidP="00000000" w:rsidRDefault="00000000" w:rsidRPr="00000000" w14:paraId="00000020">
      <w:pPr>
        <w:jc w:val="both"/>
        <w:rPr>
          <w:rFonts w:ascii="Poppins" w:cs="Poppins" w:eastAsia="Poppins" w:hAnsi="Poppins"/>
          <w:color w:val="1a283a"/>
          <w:sz w:val="20"/>
          <w:szCs w:val="20"/>
        </w:rPr>
      </w:pPr>
      <w:r w:rsidDel="00000000" w:rsidR="00000000" w:rsidRPr="00000000">
        <w:rPr>
          <w:rFonts w:ascii="Poppins" w:cs="Poppins" w:eastAsia="Poppins" w:hAnsi="Poppins"/>
          <w:color w:val="1a283a"/>
          <w:sz w:val="20"/>
          <w:szCs w:val="20"/>
          <w:rtl w:val="0"/>
        </w:rPr>
        <w:t xml:space="preserve">If the engagement is not fulfilled, LOKO can choose to reclaim the engagement subsidy, refuse the granting of an engagement subsidy during the next academic year, or to only accept a request after the association has compensated the deficit of their engagement hours.</w:t>
      </w:r>
    </w:p>
    <w:sectPr>
      <w:type w:val="continuous"/>
      <w:pgSz w:h="16834" w:w="11909" w:orient="portrait"/>
      <w:pgMar w:bottom="907" w:top="907" w:left="907" w:right="907" w:header="567" w:footer="5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entury Gothic">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rive.google.com/file/d/1fpnO6H47e8HrIHjPuTtoEz5B-3EUsTOK/view?usp=sharing" TargetMode="External"/><Relationship Id="rId10" Type="http://schemas.openxmlformats.org/officeDocument/2006/relationships/hyperlink" Target="https://www.loko.be/files/01.03.02-EN-template-proof-operational-subsidies.docx" TargetMode="External"/><Relationship Id="rId9" Type="http://schemas.openxmlformats.org/officeDocument/2006/relationships/hyperlink" Target="https://www.loko.be/files/01.03.02-EN-template-proof-operational-subsidies.docx" TargetMode="Externa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11" Type="http://schemas.openxmlformats.org/officeDocument/2006/relationships/font" Target="fonts/CenturyGothic-italic.ttf"/><Relationship Id="rId10" Type="http://schemas.openxmlformats.org/officeDocument/2006/relationships/font" Target="fonts/CenturyGothic-bold.ttf"/><Relationship Id="rId12" Type="http://schemas.openxmlformats.org/officeDocument/2006/relationships/font" Target="fonts/CenturyGothic-boldItalic.ttf"/><Relationship Id="rId9" Type="http://schemas.openxmlformats.org/officeDocument/2006/relationships/font" Target="fonts/CenturyGothic-regular.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